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23 46 vom 8. Februar 2024</w:t>
      </w:r>
    </w:p>
    <w:p>
      <w:r>
        <w:t>VS Kantonsgericht, 2024-02-08, FR</w:t>
      </w:r>
    </w:p>
    <w:p>
      <w:r>
        <w:rPr>
          <w:b/>
        </w:rPr>
        <w:t xml:space="preserve">Quelle: </w:t>
      </w:r>
      <w:r>
        <w:t>https://mcp.opencaselaw.ch/entscheid/vs_gerichte_A1 23 46</w:t>
      </w:r>
    </w:p>
    <w:p>
      <w:r>
        <w:t>FR: VS_GERICHTE A1 23 46 du 8 février 2024</w:t>
      </w:r>
    </w:p>
    <w:p>
      <w:r>
        <w:t>IT: VS_GERICHTE A1 23 46 del 8 febbraio 2024</w:t>
      </w:r>
    </w:p>
    <w:p>
      <w:pPr>
        <w:pStyle w:val="Heading2"/>
      </w:pPr>
      <w:r>
        <w:t>Regeste</w:t>
      </w:r>
    </w:p>
    <w:p>
      <w:r>
        <w:t>A1 23 46 ARRÊT DU 8 FEVRIER 2024 Tribunal cantonal du Valais Cour de droit public Composition : Christophe Joris, président, Jean-Bernard Fournier et Dr Thierry Schnyder, juges ; en la cause X _________, A _________, recourant contre CONSEIL D’ETAT DU CANTON DU VALAIS, 1950 Sion, autorité attaquée, et CONSEIL COMMUNAL DE Y _________, autre autorité (aide sociale) recours de droit administratif contre la décision du 1er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14 février 2023, le Conseil d’Etat a réexpédié sous pli simple à X _________ son prononcé du 1er février 2023 que le recourant n’était pas allé chercher à la poste quand il lui avait été envoyé sous pli recommandé du 6 février 2023. L’autorité attaquée avait alors correctement signalé à X _________ que le délai de recours de 30 jours se calculait en fonction de la fin du délai de garde (7 jours) du pli du</w:t>
      </w:r>
    </w:p>
    <w:p>
      <w:r>
        <w:rPr>
          <w:b/>
        </w:rPr>
        <w:t>E. 6</w:t>
      </w:r>
    </w:p>
    <w:p>
      <w:r>
        <w:t>A titre exceptionnel, les frais sont remis à X _________ (art. 89 al. 2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